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CTF-specific: transactions linked to conflict zones, gold as alternative remittance, purchases by NPOs/charities without clear purpose, small frequent purchases aggregating to large volumes, links to designated persons.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GRAMALTIN AS CTF-specific: transactions linked to conflict zones, gold as alternative remittance, purchases by NPOs/charities without clear purpose, small frequent purchases aggregating to large volumes, links to designated persons.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