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 red flags: transactions linked to conflict zones, gold used as alternative remittance, purchases by NPOs/charities without clear purpose, small frequent purchases aggregating to large volumes, and links to designated persons or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MADISON LLC CTF-specific red flags: transactions linked to conflict zones, gold used as alternative remittance, purchases by NPOs/charities without clear purpose, small frequent purchases aggregating to large volumes, and links to designated persons or entities.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