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 red flags: transactions linked to conflict zones, gold used as alternative remittance, purchases by NPOs/charities without clear purpose, small frequent purchases aggregating to large volumes, and links to designated persons or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FG LLC CTF-specific red flags: transactions linked to conflict zones, gold used as alternative remittance, purchases by NPOs/charities without clear purpose, small frequent purchases aggregating to large volumes, and links to designated persons or entities.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