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 red flags: transactions linked to conflict zones, gold used as alternative remittance, purchases by NPOs/charities without clear purpose, small frequent purchases aggregating to large volumes, and links to designated persons or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GRAMALTIN AS CTF-specific red flags: transactions linked to conflict zones, gold used as alternative remittance, purchases by NPOs/charities without clear purpose, small frequent purchases aggregating to large volumes, and links to designated persons or entities.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