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HSV2-TPK-2026-04-06-UNASSIGNED-RF-09_Terrorism_Fina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1213965289703685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RF-09 | Terrorism Financing Red Flags in Gold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https://app.asana.com/1/1213645083721316/project/1213908508433868/task/1213965289703685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CTF-specific red flags: transactions linked to conflict zones, gold used as alternative remittance, purchases by NPOs/charities without clear purpose, small frequent purchases aggregating to large volumes, and links to designated persons or entities.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5-6; Cabinet Resolution 74/2020; FATF Rec. 5-8; UNSC Resolutions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RF-09 | Terrorism Financing Red Flags in Gold Trading - ENTITY: FG BRANCH CTF-specific red flags: transactions linked to conflict zones, gold used as alternative remittance, purchases by NPOs/charities without clear purpose, small frequent purchases aggregating to large volumes, and links to designated persons or entities. Regulatory Basis: UAE FDL No.(10) of 2025 Art. 5-6; Cabinet Resolution 74/2020; FATF Rec. 5-8; UNSC Resolutions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