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indicators: transactions involving dual-use goods, entities in DPRK/Iran supply chains, front companies for proliferation networks, gold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FG BRANCH PF indicators: transactions involving dual-use goods, entities in DPRK/Iran supply chains, front companies for proliferation networks, gold facilitating sanctions evasion for WMD programmes. Regulatory Basis: UAE FDL No.(10) of 2025 Art. 7; FATF Rec. 7; Cabinet Resolution 74/2020 Art. 5; UNSC Res. 1718/2231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