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indicators: transactions involving dual-use goods, entities in DPRK/Iran supply chains, front companies for proliferation networks, gold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MADISON LLCPF indicators: transactions involving dual-use goods, entities in DPRK/Iran supply chains, front companies for proliferation networks, gold facilitating sanctions evasion for WMD programmes.Regulatory Basis: UAE FDL No.(10) of 2025 Art. 7; FATF Rec. 7; Cabinet Resolution 74/2020 Art. 5; UNSC Res. 1718/2231Priority: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