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Quantitative/qualitative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FG BRANCH Quantitative/qualitative alert criteria: transactions outside normal hours, sudden volume/value spikes, dormant accounts reactivated, transactions just below thresholds, inconsistent frequency. Regulatory Basis: Cabinet Resolution 134/2025 Art. 17; UAE FDL No.(10) of 2025 Art. 15;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