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HSV2-TPK-2026-04-06-UNASSIGNED-RF-11_Unusual_Transa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1213954968018044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RF-11 | Unusual Transaction Pattern Alert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https://app.asana.com/1/1213645083721316/project/1213909833048586/task/1213954968018044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Quantitative/qualitative alert criteria: transactions outside normal hours, sudden volume/value spikes, dormant accounts reactivated, transactions just below thresholds, inconsistent frequency.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134/2025 Art. 17; UAE FDL No.(10) of 2025 Art. 15;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RF-11 | Unusual Transaction Pattern Alert Criteria - ENTITY: FG LLCQuantitative/qualitative alert criteria: transactions outside normal hours, sudden volume/value spikes, dormant accounts reactivated, transactions just below thresholds, inconsistent frequency.Regulatory Basis: Cabinet Resolution 134/2025 Art. 17; UAE FDL No.(10) of 2025 Art. 15; FATF Rec. 20Priority: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