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1213959825120071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HSV2-TPK-2026-04-06-UNASSIGNED-RF-11_Unusual_Transa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1213959825120071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RF-11 | Unusual Transaction Pattern Alert Criteria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1213959825120071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https://app.asana.com/1/1213645083721316/project/1213908828069020/task/1213959825120071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Quantitative and qualitative alert criteria: transactions outside normal hours, sudden volume/value spikes, dormant accounts reactivated, transactions just below thresholds, inconsistent frequency.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134/2025 Art. 17; UAE FDL No.(10) of 2025 Art. 15;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RF-11 | Unusual Transaction Pattern Alert Criteria - ENTITY: ZOE FZEQuantitative and qualitative alert criteria: transactions outside normal hours, sudden volume/value spikes, dormant accounts reactivated, transactions just below thresholds, inconsistent frequency.Regulatory Basis: Cabinet Resolution 134/2025 Art. 17; UAE FDL No.(10) of 2025 Art. 15; FATF Rec. 20Priority: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