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1213962483978977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HSV2-TPK-2026-04-06-UNASSIGNED-RF-11_Unusual_Transa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1213962483978977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RF-11 | Unusual Transaction Pattern Alert Criteria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1213962483978977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https://app.asana.com/1/1213645083721316/project/1213908611350810/task/1213962483978977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Quantitative and qualitative alert criteria: transactions outside normal hours, sudden volume/value spikes, dormant accounts reactivated, transactions just below thresholds, inconsistent frequency.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134/2025 Art. 17; UAE FDL No.(10) of 2025 Art. 15;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RF-11 | Unusual Transaction Pattern Alert Criteria - ENTITY: MADISON LLC Quantitative and qualitative alert criteria: transactions outside normal hours, sudden volume/value spikes, dormant accounts reactivated, transactions just below thresholds, inconsistent frequency. Regulatory Basis: Cabinet Resolution 134/2025 Art. 17; UAE FDL No.(10) of 2025 Art. 15; FATF Rec.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