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1213964638207769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HSV2-TPK-2026-04-06-UNASSIGNED-RF-11_Unusual_Transa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1213964638207769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RF-11 | Unusual Transaction Pattern Alert Criteria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1213964638207769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https://app.asana.com/1/1213645083721316/project/1213908611350810/task/1213964638207769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Quantitative/qualitative alert criteria: transactions outside normal hours, sudden volume/value spikes, dormant accounts reactivated, transactions just below thresholds, inconsistent frequency.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134/2025 Art. 17; UAE FDL No.(10) of 2025 Art. 15;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RF-11 | Unusual Transaction Pattern Alert Criteria - ENTITY: MADISON LLCQuantitative/qualitative alert criteria: transactions outside normal hours, sudden volume/value spikes, dormant accounts reactivated, transactions just below thresholds, inconsistent frequency.Regulatory Basis: Cabinet Resolution 134/2025 Art. 17; UAE FDL No.(10) of 2025 Art. 15; FATF Rec. 20Priority: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FINAL_MADISON_LLC_ALL_TASKS_ASANA_IMPORT.csv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