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HSV2-TPK-2026-04-06-UNASSIGNED-RF-11_Unusual_Transa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1213964638919313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RF-11 | Unusual Transaction Pattern Alert Criteria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https://app.asana.com/1/1213645083721316/project/1213908611400789/task/1213964638919313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Quantitative and qualitative alert criteria: transactions outside normal hours, sudden volume/value spikes, dormant accounts reactivated, transactions just below thresholds, inconsistent frequency.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134/2025 Art. 17; UAE FDL No.(10) of 2025 Art. 15;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RF-11 | Unusual Transaction Pattern Alert Criteria - ENTITY: GRAMALTIN AS Quantitative and qualitative alert criteria: transactions outside normal hours, sudden volume/value spikes, dormant accounts reactivated, transactions just below thresholds, inconsistent frequency. Regulatory Basis: Cabinet Resolution 134/2025 Art. 17; UAE FDL No.(10) of 2025 Art. 15;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