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Quantitative/qualitative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ZOE FZEQuantitative/qualitative alert criteria: transactions outside normal hours, sudden volume/value spikes, dormant accounts reactivated, transactions just below thresholds, inconsistent frequency.Regulatory Basis: Cabinet Resolution 134/2025 Art. 17; UAE FDL No.(10) of 2025 Art. 15;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