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1213965289703683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HSV2-TPK-2026-04-06-UNASSIGNED-RF-11_Unusual_Transa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1213965289703683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RF-11 | Unusual Transaction Pattern Alert Criteria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1213965289703683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https://app.asana.com/1/1213645083721316/project/1213908508433868/task/1213965289703683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Quantitative and qualitative alert criteria: transactions outside normal hours, sudden volume/value spikes, dormant accounts reactivated, transactions just below thresholds, inconsistent frequency.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134/2025 Art. 17; UAE FDL No.(10) of 2025 Art. 15;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RF-11 | Unusual Transaction Pattern Alert Criteria - ENTITY: FG BRANCH Quantitative and qualitative alert criteria: transactions outside normal hours, sudden volume/value spikes, dormant accounts reactivated, transactions just below thresholds, inconsistent frequency. Regulatory Basis: Cabinet Resolution 134/2025 Art. 17; UAE FDL No.(10) of 2025 Art. 15; FATF Rec.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