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 unrelated parties, from unrelated jurisdictions, multiple bank accounts for single transaction, cash from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FG LLCRed flags for third-party payments: payments from unrelated parties, from unrelated jurisdictions, multiple bank accounts for single transaction, cash from parties other than customer of record.Regulatory Basis: UAE FDL No.(10) of 2025 Art. 16; Cabinet Resolution 134/2025 Art. 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