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HSV2-TPK-2026-04-06-UNASSIGNED-RF-12_Third-Party_Pa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1213959824030673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RF-12 | Third-Party Payment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https://app.asana.com/1/1213645083721316/project/1213908611400789/task/1213959824030673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third-party payments: payments from unrelated parties, from unrelated jurisdictions, multiple bank accounts for single transaction, cash from parties other than customer of record.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RF-12 | Third-Party Payment Red Flags - ENTITY: GRAMALTIN AS Red flags for third-party payments: payments from unrelated parties, from unrelated jurisdictions, multiple bank accounts for single transaction, cash from parties other than customer of record. Regulatory Basis: UAE FDL No.(10) of 2025 Art. 16; Cabinet Resolution 134/2025 Art. 9; FATF Rec. 10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