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 unrelated parties, from unrelated jurisdictions, multiple bank accounts for single transaction, cash from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MADISON LLCRed flags for third-party payments: payments from unrelated parties, from unrelated jurisdictions, multiple bank accounts for single transaction, cash from parties other than customer of record.Regulatory Basis: UAE FDL No.(10) of 2025 Art. 16; Cabinet Resolution 134/2025 Art. 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