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1213964638919312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HSV2-TPK-2026-04-06-UNASSIGNED-RF-12_Third-Party_Pa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1213964638919312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RF-12 | Third-Party Payment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1213964638919312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https://app.asana.com/1/1213645083721316/project/1213908611400789/task/1213964638919312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flags for third-party payments: payments from/to unrelated parties, payments from jurisdictions unrelated to transaction, multiple bank accounts for single transaction, cash payments by parties other than customer of record.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RF-12 | Third-Party Payment Red Flags - ENTITY: GRAMALTIN AS Red flags for third-party payments: payments from/to unrelated parties, payments from jurisdictions unrelated to transaction, multiple bank accounts for single transaction, cash payments by parties other than customer of record. Regulatory Basis: UAE FDL No.(10) of 2025 Art. 16; Cabinet Resolution 134/2025 Art. 9; FATF Rec. 10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