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1213965289703682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HSV2-TPK-2026-04-06-UNASSIGNED-RF-12_Third-Party_Pa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1213965289703682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RF-12 | Third-Party Payment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1213965289703682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https://app.asana.com/1/1213645083721316/project/1213908508433868/task/1213965289703682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flags for third-party payments: payments from/to unrelated parties, payments from jurisdictions unrelated to transaction, multiple bank accounts for single transaction, cash payments by parties other than customer of record.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9; FATF Rec.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RF-12 | Third-Party Payment Red Flags - ENTITY: FG BRANCH Red flags for third-party payments: payments from/to unrelated parties, payments from jurisdictions unrelated to transaction, multiple bank accounts for single transaction, cash payments by parties other than customer of record. Regulatory Basis: UAE FDL No.(10) of 2025 Art. 16; Cabinet Resolution 134/2025 Art. 9; FATF Rec. 10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