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HSV2-TPK-2026-04-06-UNASSIGNED-RF-13_Virtual_Asset_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RF-13 | Virtual Asset and Crypto-to-Gold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Crypto-gold interface: purchases funded by cryptocurrency without trail, requests to convert crypto to physical gold, mixing/tumbling services, unregulated VA platforms.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VARA Regulations; FATF Updated Guidance for Virtual Assets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RF-13 | Virtual Asset and Crypto-to-Gold Red Flags - ENTITY: FG BRANCH Crypto-gold interface: purchases funded by cryptocurrency without trail, requests to convert crypto to physical gold, mixing/tumbling services, unregulated VA platforms. Regulatory Basis: UAE FDL No.(10) of 2025 Art. 4; VARA Regulations; FATF Updated Guidance for Virtual Assets (2021)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