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interface: purchases funded by cryptocurrency without trail, requests to convert crypto to physical gold, mixing/tumbling services, unregulated VA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FG LLCCrypto-gold interface: purchases funded by cryptocurrency without trail, requests to convert crypto to physical gold, mixing/tumbling services, unregulated VA platforms.Regulatory Basis: UAE FDL No.(10) of 2025 Art. 4; VARA Regulations; FATF Updated Guidance for Virtual Assets (2021)Priority: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