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1213959824030672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HSV2-TPK-2026-04-06-UNASSIGNED-RF-13_Virtual_Asset_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1213959824030672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RF-13 | Virtual Asset and Crypto-to-Gold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1213959824030672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https://app.asana.com/1/1213645083721316/project/1213908611400789/task/1213959824030672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Crypto-gold interface: purchases funded by cryptocurrency without trail, requests to convert crypto to physical gold, mixing/tumbling services, unregulated VA platforms.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4; VARA Regulations; FATF Updated Guidance for Virtual Assets (2021)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RF-13 | Virtual Asset and Crypto-to-Gold Red Flags - ENTITY: GRAMALTIN AS Crypto-gold interface: purchases funded by cryptocurrency without trail, requests to convert crypto to physical gold, mixing/tumbling services, unregulated VA platforms. Regulatory Basis: UAE FDL No.(10) of 2025 Art. 4; VARA Regulations; FATF Updated Guidance for Virtual Assets (2021)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FINAL_GRAMALTIN_AS_ALL_TASKS_ASANA_IMPORT.csv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