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 red flags: purchases funded by cryptocurrency without clear trail, requests to convert crypto proceeds to physical gold, use of mixing/tumbling services, transactions via unregulated virtual asset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ZOE FZECrypto-gold interface red flags: purchases funded by cryptocurrency without clear trail, requests to convert crypto proceeds to physical gold, use of mixing/tumbling services, transactions via unregulated virtual asset platforms.Regulatory Basis: UAE FDL No.(10) of 2025 Art. 4; VARA Regulations; FATF Updated Guidance for Virtual Assets (2021)Priority: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