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 red flags: purchases funded by cryptocurrency without clear trail, requests to convert crypto proceeds to physical gold, use of mixing/tumbling services, transactions via unregulated virtual asset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MADISON LLC Crypto-gold interface red flags: purchases funded by cryptocurrency without clear trail, requests to convert crypto proceeds to physical gold, use of mixing/tumbling services, transactions via unregulated virtual asset platforms. Regulatory Basis: UAE FDL No.(10) of 2025 Art. 4; VARA Regulations; FATF Updated Guidance for Virtual Assets (2021)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