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MADISON LLCCrypto-gold interface: purchases funded by cryptocurrency without trail, requests to convert crypto to physical gold, mixing/tumbling services, unregulated VA platforms.Regulatory Basis: UAE FDL No.(10) of 2025 Art. 4; VARA Regulations; FATF Updated Guidance for Virtual Assets (2021)Priority: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