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HSV2-TPK-2026-04-06-UNASSIGNED-RF-13_Virtual_Asset_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1213964638768851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RF-13 | Virtual Asset and Crypto-to-Gold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https://app.asana.com/1/1213645083721316/project/1213909833048586/task/1213964638768851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Crypto-gold interface red flags: purchases funded by cryptocurrency without clear trail, requests to convert crypto proceeds to physical gold, use of mixing/tumbling services, transactions via unregulated virtual asset platforms.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VARA Regulations; FATF Updated Guidance for Virtual Assets (2021)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RF-13 | Virtual Asset and Crypto-to-Gold Red Flags - ENTITY: FG LLC Crypto-gold interface red flags: purchases funded by cryptocurrency without clear trail, requests to convert crypto proceeds to physical gold, use of mixing/tumbling services, transactions via unregulated virtual asset platforms. Regulatory Basis: UAE FDL No.(10) of 2025 Art. 4; VARA Regulations; FATF Updated Guidance for Virtual Assets (2021)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