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HSV2-TPK-2026-04-06-UNASSIGNED-RF-13_Virtual_Asset_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1213964638919311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RF-13 | Virtual Asset and Crypto-to-Gold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https://app.asana.com/1/1213645083721316/project/1213908611400789/task/1213964638919311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Crypto-gold interface red flags: purchases funded by cryptocurrency without clear trail, requests to convert crypto proceeds to physical gold, use of mixing/tumbling services, transactions via unregulated virtual asset platforms.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VARA Regulations; FATF Updated Guidance for Virtual Assets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RF-13 | Virtual Asset and Crypto-to-Gold Red Flags - ENTITY: GRAMALTIN AS Crypto-gold interface red flags: purchases funded by cryptocurrency without clear trail, requests to convert crypto proceeds to physical gold, use of mixing/tumbling services, transactions via unregulated virtual asset platforms. Regulatory Basis: UAE FDL No.(10) of 2025 Art. 4; VARA Regulations; FATF Updated Guidance for Virtual Assets (2021)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