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interface: purchases funded by cryptocurrency without trail, requests to convert crypto to physical gold, mixing/tumbling services, unregulated VA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NAPLES LLC Crypto-gold interface: purchases funded by cryptocurrency without trail, requests to convert crypto to physical gold, mixing/tumbling services, unregulated VA platforms. Regulatory Basis: UAE FDL No.(10) of 2025 Art. 4; VARA Regulations; FATF Updated Guidance for Virtual Assets (2021)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