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interface: purchases funded by cryptocurrency without trail, requests to convert crypto to physical gold, mixing/tumbling services, unregulated VA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ZOE FZECrypto-gold interface: purchases funded by cryptocurrency without trail, requests to convert crypto to physical gold, mixing/tumbling services, unregulated VA platforms.Regulatory Basis: UAE FDL No.(10) of 2025 Art. 4; VARA Regulations; FATF Updated Guidance for Virtual Assets (2021)Priority: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