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 red flags: purchases funded by cryptocurrency without clear trail, requests to convert crypto proceeds to physical gold, use of mixing/tumbling services, transactions via unregulated virtual asset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FG BRANCH Crypto-gold interface red flags: purchases funded by cryptocurrency without clear trail, requests to convert crypto proceeds to physical gold, use of mixing/tumbling services, transactions via unregulated virtual asset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