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gold to circumvent banking restrictions, non-sanctioned intermediaries, falsified CoO documentation, FTZ exploitation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FG LLCSanctions evasion patterns: gold to circumvent banking restrictions, non-sanctioned intermediaries, falsified CoO documentation, FTZ exploitation to obscure destination.Regulatory Basis: Cabinet Resolution 74/2020; UAE FDL No.(10) of 2025 Art. 22; OFAC Advisory on Gold (2022); FATF Rec. 6-7Priority: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