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GRAMALTIN AS Sanctions evasion patterns: gold to circumvent banking restrictions, non-sanctioned intermediaries, falsified CoO documentation, FTZ exploitation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