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use of gold to circumvent banking restrictions, transactions routed through non-sanctioned intermediaries, falsified country-of-origin documentation, exploitation of free trade zones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MADISON LLC Sanctions evasion patterns: use of gold to circumvent banking restrictions, transactions routed through non-sanctioned intermediaries, falsified country-of-origin documentation, exploitation of free trade zones to obscure destination. Regulatory Basis: Cabinet Resolution 74/2020; UAE FDL No.(10) of 2025 Art. 22; OFAC Advisory on Gold (2022); FATF Rec. 6-7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