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HSV2-TPK-2026-04-06-UNASSIGNED-RF-14_Sanctions_Evas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1213964638207766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RF-14 | Sanctions Evasion Red Flags Specific to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evasion patterns: gold to circumvent banking restrictions, non-sanctioned intermediaries, falsified CoO documentation, FTZ exploitation to obscure destination.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 Advisory on Gold (2022);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RF-14 | Sanctions Evasion Red Flags Specific to DPMS - ENTITY: MADISON LLCSanctions evasion patterns: gold to circumvent banking restrictions, non-sanctioned intermediaries, falsified CoO documentation, FTZ exploitation to obscure destination.Regulatory Basis: Cabinet Resolution 74/2020; UAE FDL No.(10) of 2025 Art. 22; OFAC Advisory on Gold (2022); FATF Rec. 6-7Priority: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