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HSV2-TPK-2026-04-06-UNASSIGNED-RF-14_Sanctions_Evas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1213964638768850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RF-14 | Sanctions Evasion Red Flags Specific to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1213964638768850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https://app.asana.com/1/1213645083721316/project/1213909833048586/task/1213964638768850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evasion patterns: use of gold to circumvent banking restrictions, transactions routed through non-sanctioned intermediaries, falsified country-of-origin documentation, exploitation of free trade zones to obscure destination.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UAE FDL No.(10) of 2025 Art. 22; OFAC Advisory on Gold (2022);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RF-14 | Sanctions Evasion Red Flags Specific to DPMS - ENTITY: FG LLC Sanctions evasion patterns: use of gold to circumvent banking restrictions, transactions routed through non-sanctioned intermediaries, falsified country-of-origin documentation, exploitation of free trade zones to obscure destination. Regulatory Basis: Cabinet Resolution 74/2020; UAE FDL No.(10) of 2025 Art. 22; OFAC Advisory on Gold (2022); FATF Rec. 6-7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