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HSV2-TPK-2026-04-06-UNASSIGNED-RF-14_Sanctions_Evas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1213964638919310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RF-14 | Sanctions Evasion Red Flags Specific to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evasion patterns: use of gold to circumvent banking restrictions, transactions routed through non-sanctioned intermediaries, falsified country-of-origin documentation, exploitation of free trade zones to obscure destination.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 Advisory on Gold (2022);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RF-14 | Sanctions Evasion Red Flags Specific to DPMS - ENTITY: GRAMALTIN AS Sanctions evasion patterns: use of gold to circumvent banking restrictions, transactions routed through non-sanctioned intermediaries, falsified country-of-origin documentation, exploitation of free trade zones to obscure destination. Regulatory Basis: Cabinet Resolution 74/2020; UAE FDL No.(10) of 2025 Art. 22; OFAC Advisory on Gold (2022); FATF Rec. 6-7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