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gold to circumvent banking restrictions, non-sanctioned intermediaries, falsified CoO documentation, FTZ exploitation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NAPLES LLC Sanctions evasion patterns: gold to circumvent banking restrictions, non-sanctioned intermediaries, falsified CoO documentation, FTZ exploitation to obscure destination. Regulatory Basis: Cabinet Resolution 74/2020; UAE FDL No.(10) of 2025 Art. 22; OFAC Advisory on Gold (2022); FATF Rec. 6-7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