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gold to circumvent banking restrictions, non-sanctioned intermediaries, falsified CoO documentation, FTZ exploitation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ZOE FZESanctions evasion patterns: gold to circumvent banking restrictions, non-sanctioned intermediaries, falsified CoO documentation, FTZ exploitation to obscure destination.Regulatory Basis: Cabinet Resolution 74/2020; UAE FDL No.(10) of 2025 Art. 22; OFAC Advisory on Gold (2022); FATF Rec. 6-7Priority: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