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HSV2-TPK-2026-04-06-UNASSIGNED-RF-14_Sanctions_Evas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1213965289703680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RF-14 | Sanctions Evasion Red Flags Specific to DPMS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https://app.asana.com/1/1213645083721316/project/1213908508433868/task/1213965289703680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Sanctions evasion patterns: use of gold to circumvent banking restrictions, transactions routed through non-sanctioned intermediaries, falsified country-of-origin documentation, exploitation of free trade zones to obscure destination.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UAE FDL No.(10) of 2025 Art. 22; OFAC Advisory on Gold (2022); FATF Rec. 6-7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RF-14 | Sanctions Evasion Red Flags Specific to DPMS - ENTITY: FG BRANCH Sanctions evasion patterns: use of gold to circumvent banking restrictions, transactions routed through non-sanctioned intermediaries, falsified country-of-origin documentation, exploitation of free trade zones to obscure destination. Regulatory Basis: Cabinet Resolution 74/2020; UAE FDL No.(10) of 2025 Art. 22; OFAC Advisory on Gold (2022); FATF Rec. 6-7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