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registers. Incorporate: new FATF typologies, UAE NRA updates, FIU feedback, internal case learnings, MOE inspection findings, sector advisories.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GRAMALTIN AS Annual review cycle for all red flags registers. Incorporate: new FATF typologies, UAE NRA updates, FIU feedback, internal case learnings, MOE inspection findings, sector advisories. MLRO sign-off. Regulatory Basis: UAE FDL No.(10) of 2025 Art. 20; Cabinet Resolution 134/2025 Art. 58; FATF Rec. 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