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 incorporating: new FATF typologies, UAE NRA updates, FIU feedback, internal case learnings, MOE inspection findings, and sector-specific advisories. MLRO sign-off required.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ZOE FZEAnnual review cycle for all red flags registers incorporating: new FATF typologies, UAE NRA updates, FIU feedback, internal case learnings, MOE inspection findings, and sector-specific advisories. MLRO sign-off required.Regulatory Basis: UAE FDL No.(10) of 2025 Art. 20; Cabinet Resolution 134/2025 Art. 58; FATF Rec. 1Priority: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