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1213962483978973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HSV2-TPK-2026-04-06-UNASSIGNED-RF-15_Red_Flags_Annu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1213962483978973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RF-15 | Red Flags Annual Review and Update Procedure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1213962483978973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https://app.asana.com/1/1213645083721316/project/1213908611350810/task/1213962483978973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Annual review cycle for all red flags registers incorporating: new FATF typologies, UAE NRA updates, FIU feedback, internal case learnings, MOE inspection findings, and sector-specific advisories. MLRO sign-off required.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58; FATF Rec. 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RF-15 | Red Flags Annual Review and Update Procedure - ENTITY: MADISON LLC Annual review cycle for all red flags registers incorporating: new FATF typologies, UAE NRA updates, FIU feedback, internal case learnings, MOE inspection findings, and sector-specific advisories. MLRO sign-off required. Regulatory Basis: UAE FDL No.(10) of 2025 Art. 20; Cabinet Resolution 134/2025 Art. 58; FATF Rec. 1 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