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HSV2-TPK-2026-04-06-UNASSIGNED-RF-15_Red_Flags_Annu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1213964638207765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RF-15 | Red Flags Annual Review and Update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https://app.asana.com/1/1213645083721316/project/1213908611350810/task/1213964638207765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cycle for all red flags registers. Incorporate: new FATF typologies, UAE NRA updates, FIU feedback, internal case learnings, MOE inspection findings, sector advisories. MLRO sign-off.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RF-15 | Red Flags Annual Review and Update Procedure - ENTITY: MADISON LLCAnnual review cycle for all red flags registers. Incorporate: new FATF typologies, UAE NRA updates, FIU feedback, internal case learnings, MOE inspection findings, sector advisories. MLRO sign-off.Regulatory Basis: UAE FDL No.(10) of 2025 Art. 20; Cabinet Resolution 134/2025 Art. 58; FATF Rec. 1Priority: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