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 incorporating: new FATF typologies, UAE NRA updates, FIU feedback, internal case learnings, MOE inspection findings, and sector-specific advisories. MLRO sign-off required.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FG LLC Annual review cycle for all red flags registers incorporating: new FATF typologies, UAE NRA updates, FIU feedback, internal case learnings, MOE inspection findings, and sector-specific advisories. MLRO sign-off required.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