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 incorporating: new FATF typologies, UAE NRA updates, FIU feedback, internal case learnings, MOE inspection findings, and sector-specific advisories. MLRO sign-off required.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GRAMALTIN AS Annual review cycle for all red flags registers incorporating: new FATF typologies, UAE NRA updates, FIU feedback, internal case learnings, MOE inspection findings, and sector-specific advisories. MLRO sign-off required.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