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HSV2-TPK-2026-04-06-UNASSIGNED-RF-15_Red_Flags_Annu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1213965254800336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RF-15 | Red Flags Annual Review and Update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https://app.asana.com/1/1213645083721316/project/1213908827982041/task/1213965254800336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cycle for all red flags registers. Incorporate: new FATF typologies, UAE NRA updates, FIU feedback, internal case learnings, MOE inspection findings, sector advisories. MLRO sign-off.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RF-15 | Red Flags Annual Review and Update Procedure - ENTITY: NAPLES LLC Annual review cycle for all red flags registers. Incorporate: new FATF typologies, UAE NRA updates, FIU feedback, internal case learnings, MOE inspection findings, sector advisories. MLRO sign-off. Regulatory Basis: UAE FDL No.(10) of 2025 Art. 20; Cabinet Resolution 134/2025 Art. 58; FATF Rec. 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