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registers. Incorporate: new FATF typologies, UAE NRA updates, FIU feedback, internal case learnings, MOE inspection findings, sector advisories.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ZOE FZEAnnual review cycle for all red flags registers. Incorporate: new FATF typologies, UAE NRA updates, FIU feedback, internal case learnings, MOE inspection findings, sector advisories. MLRO sign-off.Regulatory Basis: UAE FDL No.(10) of 2025 Art. 20; Cabinet Resolution 134/2025 Art. 58; FATF Rec. 1Priority: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