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HSV2-TPK-2026-04-06-UNASSIGNED-RF-M02_ASM_Risk_Indi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RF-M02 | ASM Risk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 red flags: volumes inconsistent with capacity, no permits, purity inconsistent with ASM, child/forced labour, no certified programme, middlemen without mine relationships, below-market pricing.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 Sec. III;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ASM red flags: volumes inconsistent with capacity, no permits, purity inconsistent with ASM, child/forced labour, no certified programme, middlemen without mine relationships, below-market pricing. Regulatory Basis: LBMA RGG v9 Step 3; OECD DDG Supplement on Gold Sec. III;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