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HSV2-TPK-2026-04-06-UNASSIGNED-RF-M02_ASM_Risk_Indi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RF-M02 | ASM Risk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 red flags: volumes inconsistent with capacity, no permits, purity inconsistent with ASM, child/forced labour, no certified programme, middlemen without mine relationships, below-market pricing.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 Sec. III;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RF-M02 | ASM Risk Indicators - ENTITY: ZOE FZE ASM red flags: volumes inconsistent with capacity, no permits, purity inconsistent with ASM, child/forced labour, no certified programme, middlemen without mine relationships, below-market pricing. Regulatory Basis: LBMA RGG v9 Step 3; OECD DDG Supplement on Gold Sec. III;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